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DC49" w14:textId="77777777" w:rsidR="00FE5F5A" w:rsidRDefault="00FE5F5A">
      <w:pPr>
        <w:pStyle w:val="BodyText"/>
        <w:spacing w:before="5"/>
        <w:rPr>
          <w:rFonts w:ascii="Times New Roman"/>
          <w:sz w:val="12"/>
        </w:rPr>
      </w:pPr>
      <w:bookmarkStart w:id="0" w:name="_GoBack"/>
      <w:bookmarkEnd w:id="0"/>
    </w:p>
    <w:p w14:paraId="46F9C618" w14:textId="77777777" w:rsidR="00FE5F5A" w:rsidRDefault="004F6C61">
      <w:pPr>
        <w:spacing w:before="93"/>
        <w:ind w:left="1311" w:right="777" w:hanging="524"/>
        <w:rPr>
          <w:b/>
          <w:sz w:val="24"/>
        </w:rPr>
      </w:pPr>
      <w:proofErr w:type="spellStart"/>
      <w:r>
        <w:rPr>
          <w:b/>
          <w:color w:val="0038A8"/>
          <w:sz w:val="24"/>
        </w:rPr>
        <w:t>Erforderliche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Dokumente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für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ausländische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Staatsangehörige</w:t>
      </w:r>
      <w:proofErr w:type="spellEnd"/>
      <w:r>
        <w:rPr>
          <w:b/>
          <w:color w:val="0038A8"/>
          <w:sz w:val="24"/>
        </w:rPr>
        <w:t xml:space="preserve">, die </w:t>
      </w:r>
      <w:proofErr w:type="spellStart"/>
      <w:r>
        <w:rPr>
          <w:b/>
          <w:color w:val="0038A8"/>
          <w:sz w:val="24"/>
        </w:rPr>
        <w:t>ihren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philippinischen</w:t>
      </w:r>
      <w:proofErr w:type="spellEnd"/>
      <w:r>
        <w:rPr>
          <w:b/>
          <w:color w:val="0038A8"/>
          <w:sz w:val="24"/>
        </w:rPr>
        <w:t xml:space="preserve"> Partner auf den </w:t>
      </w:r>
      <w:proofErr w:type="spellStart"/>
      <w:r>
        <w:rPr>
          <w:b/>
          <w:color w:val="0038A8"/>
          <w:sz w:val="24"/>
        </w:rPr>
        <w:t>Philippinen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heiraten</w:t>
      </w:r>
      <w:proofErr w:type="spellEnd"/>
      <w:r>
        <w:rPr>
          <w:b/>
          <w:color w:val="0038A8"/>
          <w:sz w:val="24"/>
        </w:rPr>
        <w:t xml:space="preserve"> </w:t>
      </w:r>
      <w:proofErr w:type="spellStart"/>
      <w:r>
        <w:rPr>
          <w:b/>
          <w:color w:val="0038A8"/>
          <w:sz w:val="24"/>
        </w:rPr>
        <w:t>möchten</w:t>
      </w:r>
      <w:proofErr w:type="spellEnd"/>
    </w:p>
    <w:p w14:paraId="77315E02" w14:textId="77777777" w:rsidR="00FE5F5A" w:rsidRDefault="00FE5F5A">
      <w:pPr>
        <w:pStyle w:val="BodyText"/>
        <w:rPr>
          <w:b/>
          <w:sz w:val="26"/>
        </w:rPr>
      </w:pPr>
    </w:p>
    <w:p w14:paraId="3BF06405" w14:textId="77777777" w:rsidR="00FE5F5A" w:rsidRDefault="004F6C61">
      <w:pPr>
        <w:pStyle w:val="ListParagraph"/>
        <w:numPr>
          <w:ilvl w:val="0"/>
          <w:numId w:val="2"/>
        </w:numPr>
        <w:tabs>
          <w:tab w:val="left" w:pos="837"/>
        </w:tabs>
        <w:spacing w:before="204"/>
        <w:ind w:right="114"/>
        <w:jc w:val="both"/>
        <w:rPr>
          <w:b/>
        </w:rPr>
      </w:pPr>
      <w:proofErr w:type="spellStart"/>
      <w:r>
        <w:rPr>
          <w:b/>
        </w:rPr>
        <w:t>Ehefähigkeitszeugnis</w:t>
      </w:r>
      <w:proofErr w:type="spellEnd"/>
      <w:r>
        <w:rPr>
          <w:b/>
        </w:rPr>
        <w:t xml:space="preserve"> </w:t>
      </w:r>
      <w:r>
        <w:t xml:space="preserve">dieses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Einwohnermeldeamt</w:t>
      </w:r>
      <w:proofErr w:type="spellEnd"/>
      <w:r>
        <w:t xml:space="preserve"> des </w:t>
      </w:r>
      <w:proofErr w:type="spellStart"/>
      <w:r>
        <w:t>Wohnortes</w:t>
      </w:r>
      <w:proofErr w:type="spellEnd"/>
      <w:r>
        <w:t xml:space="preserve"> des </w:t>
      </w:r>
      <w:proofErr w:type="spellStart"/>
      <w:r>
        <w:t>ausländischen</w:t>
      </w:r>
      <w:proofErr w:type="spellEnd"/>
      <w:r>
        <w:t xml:space="preserve"> Partners </w:t>
      </w:r>
      <w:proofErr w:type="spellStart"/>
      <w:r>
        <w:t>angefordert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Überbeglaubigung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rPr>
          <w:b/>
        </w:rPr>
        <w:t>Regierungspräsidium</w:t>
      </w:r>
      <w:proofErr w:type="spellEnd"/>
      <w:r>
        <w:rPr>
          <w:b/>
        </w:rPr>
        <w:t>.</w:t>
      </w:r>
    </w:p>
    <w:p w14:paraId="1039DFDF" w14:textId="77777777" w:rsidR="00FE5F5A" w:rsidRDefault="00FE5F5A">
      <w:pPr>
        <w:pStyle w:val="BodyText"/>
        <w:rPr>
          <w:b/>
        </w:rPr>
      </w:pPr>
    </w:p>
    <w:p w14:paraId="174E2F80" w14:textId="77777777" w:rsidR="00FE5F5A" w:rsidRDefault="004F6C61">
      <w:pPr>
        <w:pStyle w:val="ListParagraph"/>
        <w:numPr>
          <w:ilvl w:val="0"/>
          <w:numId w:val="2"/>
        </w:numPr>
        <w:tabs>
          <w:tab w:val="left" w:pos="837"/>
        </w:tabs>
        <w:ind w:right="113"/>
        <w:jc w:val="both"/>
        <w:rPr>
          <w:b/>
        </w:rPr>
      </w:pPr>
      <w:r>
        <w:t xml:space="preserve">Das Original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beglaubigte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der </w:t>
      </w:r>
      <w:proofErr w:type="spellStart"/>
      <w:r>
        <w:rPr>
          <w:b/>
        </w:rPr>
        <w:t>Geburtsurkunde</w:t>
      </w:r>
      <w:proofErr w:type="spellEnd"/>
      <w:r>
        <w:rPr>
          <w:b/>
        </w:rP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Überbeglaubigung</w:t>
      </w:r>
      <w:proofErr w:type="spellEnd"/>
      <w:r>
        <w:t xml:space="preserve"> </w:t>
      </w:r>
      <w:proofErr w:type="spellStart"/>
      <w:r>
        <w:t>vom</w:t>
      </w:r>
      <w:proofErr w:type="spellEnd"/>
      <w:r>
        <w:rPr>
          <w:spacing w:val="-13"/>
        </w:rPr>
        <w:t xml:space="preserve"> </w:t>
      </w:r>
      <w:proofErr w:type="spellStart"/>
      <w:r>
        <w:rPr>
          <w:b/>
        </w:rPr>
        <w:t>Regierungspräsidium</w:t>
      </w:r>
      <w:proofErr w:type="spellEnd"/>
      <w:r>
        <w:rPr>
          <w:b/>
        </w:rPr>
        <w:t>.</w:t>
      </w:r>
    </w:p>
    <w:p w14:paraId="2D8111E6" w14:textId="77777777" w:rsidR="00FE5F5A" w:rsidRDefault="00FE5F5A">
      <w:pPr>
        <w:pStyle w:val="BodyText"/>
        <w:spacing w:before="1"/>
        <w:rPr>
          <w:b/>
        </w:rPr>
      </w:pPr>
    </w:p>
    <w:p w14:paraId="4B987A92" w14:textId="77777777" w:rsidR="00FE5F5A" w:rsidRDefault="004F6C61">
      <w:pPr>
        <w:pStyle w:val="ListParagraph"/>
        <w:numPr>
          <w:ilvl w:val="0"/>
          <w:numId w:val="2"/>
        </w:numPr>
        <w:tabs>
          <w:tab w:val="left" w:pos="837"/>
        </w:tabs>
        <w:ind w:right="112"/>
        <w:jc w:val="both"/>
      </w:pPr>
      <w:r>
        <w:t xml:space="preserve">Das Original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beglaubigte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der </w:t>
      </w:r>
      <w:proofErr w:type="spellStart"/>
      <w:r>
        <w:rPr>
          <w:b/>
        </w:rPr>
        <w:t>Scheidungsurkunde</w:t>
      </w:r>
      <w:proofErr w:type="spellEnd"/>
      <w:r>
        <w:rPr>
          <w:b/>
        </w:rPr>
        <w:t xml:space="preserve"> </w:t>
      </w:r>
      <w:proofErr w:type="spellStart"/>
      <w:r>
        <w:t>oder</w:t>
      </w:r>
      <w:proofErr w:type="spellEnd"/>
      <w:r>
        <w:t xml:space="preserve"> des </w:t>
      </w:r>
      <w:proofErr w:type="spellStart"/>
      <w:r>
        <w:rPr>
          <w:b/>
        </w:rPr>
        <w:t>Totenscheins</w:t>
      </w:r>
      <w:proofErr w:type="spellEnd"/>
      <w:r>
        <w:rPr>
          <w:b/>
        </w:rPr>
        <w:t xml:space="preserve"> </w:t>
      </w:r>
      <w:r>
        <w:t xml:space="preserve">des </w:t>
      </w:r>
      <w:proofErr w:type="spellStart"/>
      <w:r>
        <w:t>verstorbenen</w:t>
      </w:r>
      <w:proofErr w:type="spellEnd"/>
      <w:r>
        <w:t xml:space="preserve"> </w:t>
      </w:r>
      <w:proofErr w:type="spellStart"/>
      <w:r>
        <w:t>Ehepartners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anwendbar</w:t>
      </w:r>
      <w:proofErr w:type="spellEnd"/>
      <w:r>
        <w:t xml:space="preserve">. Die </w:t>
      </w:r>
      <w:proofErr w:type="spellStart"/>
      <w:r>
        <w:t>Urkunde</w:t>
      </w:r>
      <w:proofErr w:type="spellEnd"/>
      <w:r>
        <w:t xml:space="preserve"> muss </w:t>
      </w:r>
      <w:proofErr w:type="spellStart"/>
      <w:r>
        <w:t>übersetzt</w:t>
      </w:r>
      <w:proofErr w:type="spellEnd"/>
      <w:r>
        <w:t xml:space="preserve"> (</w:t>
      </w:r>
      <w:proofErr w:type="spellStart"/>
      <w:r>
        <w:t>vereidigter</w:t>
      </w:r>
      <w:proofErr w:type="spellEnd"/>
      <w:r>
        <w:t xml:space="preserve"> </w:t>
      </w:r>
      <w:proofErr w:type="spellStart"/>
      <w:r>
        <w:t>Übersetzer</w:t>
      </w:r>
      <w:proofErr w:type="spellEnd"/>
      <w:r>
        <w:t xml:space="preserve">) und </w:t>
      </w:r>
      <w:proofErr w:type="spellStart"/>
      <w:r>
        <w:t>vom</w:t>
      </w:r>
      <w:proofErr w:type="spellEnd"/>
      <w:r>
        <w:t xml:space="preserve"> </w:t>
      </w:r>
      <w:proofErr w:type="spellStart"/>
      <w:r>
        <w:rPr>
          <w:b/>
        </w:rPr>
        <w:t>Landgericht</w:t>
      </w:r>
      <w:proofErr w:type="spellEnd"/>
      <w:r>
        <w:rPr>
          <w:b/>
        </w:rPr>
        <w:t xml:space="preserve"> </w:t>
      </w:r>
      <w:proofErr w:type="spellStart"/>
      <w:r>
        <w:t>überbeglaubigt</w:t>
      </w:r>
      <w:proofErr w:type="spellEnd"/>
      <w:r>
        <w:rPr>
          <w:spacing w:val="-18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33A320F6" w14:textId="77777777" w:rsidR="00FE5F5A" w:rsidRDefault="00FE5F5A">
      <w:pPr>
        <w:pStyle w:val="BodyText"/>
      </w:pPr>
    </w:p>
    <w:p w14:paraId="143442C1" w14:textId="77777777" w:rsidR="00FE5F5A" w:rsidRDefault="004F6C61">
      <w:pPr>
        <w:pStyle w:val="ListParagraph"/>
        <w:numPr>
          <w:ilvl w:val="0"/>
          <w:numId w:val="2"/>
        </w:numPr>
        <w:tabs>
          <w:tab w:val="left" w:pos="837"/>
        </w:tabs>
        <w:ind w:right="115"/>
        <w:jc w:val="both"/>
        <w:rPr>
          <w:b/>
        </w:rPr>
      </w:pPr>
      <w:proofErr w:type="spellStart"/>
      <w:r>
        <w:t>Ein</w:t>
      </w:r>
      <w:proofErr w:type="spellEnd"/>
      <w:r>
        <w:t xml:space="preserve"> </w:t>
      </w:r>
      <w:proofErr w:type="spellStart"/>
      <w:r>
        <w:rPr>
          <w:b/>
        </w:rPr>
        <w:t>Leumundszeugnis</w:t>
      </w:r>
      <w:proofErr w:type="spellEnd"/>
      <w:r>
        <w:rPr>
          <w:b/>
        </w:rPr>
        <w:t>/</w:t>
      </w:r>
      <w:proofErr w:type="spellStart"/>
      <w:r>
        <w:rPr>
          <w:b/>
        </w:rPr>
        <w:t>Führungszeugnis</w:t>
      </w:r>
      <w:proofErr w:type="spellEnd"/>
      <w:r>
        <w:rPr>
          <w:b/>
        </w:rP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englischer</w:t>
      </w:r>
      <w:proofErr w:type="spellEnd"/>
      <w:r>
        <w:t xml:space="preserve"> </w:t>
      </w:r>
      <w:proofErr w:type="spellStart"/>
      <w:r>
        <w:t>Übersetzung</w:t>
      </w:r>
      <w:proofErr w:type="spellEnd"/>
      <w:r>
        <w:t xml:space="preserve"> und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Überbeglaubigung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rPr>
          <w:b/>
        </w:rPr>
        <w:t>Bundesamt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Justiz</w:t>
      </w:r>
      <w:proofErr w:type="spellEnd"/>
    </w:p>
    <w:p w14:paraId="33F1A13C" w14:textId="77777777" w:rsidR="00FE5F5A" w:rsidRDefault="00FE5F5A">
      <w:pPr>
        <w:pStyle w:val="BodyText"/>
        <w:rPr>
          <w:b/>
        </w:rPr>
      </w:pPr>
    </w:p>
    <w:p w14:paraId="57C33A56" w14:textId="77777777" w:rsidR="00FE5F5A" w:rsidRDefault="004F6C61">
      <w:pPr>
        <w:pStyle w:val="BodyText"/>
        <w:ind w:left="476" w:right="116"/>
        <w:jc w:val="both"/>
      </w:pPr>
      <w:r>
        <w:rPr>
          <w:b/>
        </w:rPr>
        <w:t xml:space="preserve">ZUSÄTZLICH GILT: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der </w:t>
      </w:r>
      <w:proofErr w:type="spellStart"/>
      <w:r>
        <w:t>Botschaft</w:t>
      </w:r>
      <w:proofErr w:type="spellEnd"/>
      <w:r>
        <w:t xml:space="preserve">/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Konsulat</w:t>
      </w:r>
      <w:proofErr w:type="spellEnd"/>
      <w:r>
        <w:t xml:space="preserve"> des </w:t>
      </w:r>
      <w:proofErr w:type="spellStart"/>
      <w:r>
        <w:t>Herkunftslandes</w:t>
      </w:r>
      <w:proofErr w:type="spellEnd"/>
      <w:r>
        <w:t xml:space="preserve"> des </w:t>
      </w:r>
      <w:proofErr w:type="spellStart"/>
      <w:r>
        <w:t>zukünftigen</w:t>
      </w:r>
      <w:proofErr w:type="spellEnd"/>
      <w:r>
        <w:t xml:space="preserve"> </w:t>
      </w:r>
      <w:proofErr w:type="spellStart"/>
      <w:r>
        <w:t>Ehegatten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Ankunft</w:t>
      </w:r>
      <w:proofErr w:type="spellEnd"/>
      <w:r>
        <w:t xml:space="preserve"> auf den </w:t>
      </w:r>
      <w:proofErr w:type="spellStart"/>
      <w:r>
        <w:t>Philippinen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Botschaft</w:t>
      </w:r>
      <w:proofErr w:type="spellEnd"/>
      <w:r>
        <w:t xml:space="preserve">/ das </w:t>
      </w:r>
      <w:proofErr w:type="spellStart"/>
      <w:r>
        <w:t>Konsulat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zukünftigen</w:t>
      </w:r>
      <w:proofErr w:type="spellEnd"/>
      <w:r>
        <w:t xml:space="preserve"> </w:t>
      </w:r>
      <w:proofErr w:type="spellStart"/>
      <w:r>
        <w:t>ausländischen</w:t>
      </w:r>
      <w:proofErr w:type="spellEnd"/>
      <w:r>
        <w:t xml:space="preserve"> </w:t>
      </w:r>
      <w:proofErr w:type="spellStart"/>
      <w:r>
        <w:t>Ehegatten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rPr>
          <w:b/>
        </w:rPr>
        <w:t>Ehefähigkeitsbescheinigung</w:t>
      </w:r>
      <w:proofErr w:type="spellEnd"/>
      <w:r>
        <w:rPr>
          <w:b/>
        </w:rPr>
        <w:t xml:space="preserve"> </w:t>
      </w:r>
      <w:r>
        <w:t xml:space="preserve">(CNI) </w:t>
      </w:r>
      <w:proofErr w:type="spellStart"/>
      <w:r>
        <w:t>ausstellen</w:t>
      </w:r>
      <w:proofErr w:type="spellEnd"/>
      <w:r>
        <w:t xml:space="preserve">. Der </w:t>
      </w:r>
      <w:proofErr w:type="spellStart"/>
      <w:r>
        <w:t>zukünftige</w:t>
      </w:r>
      <w:proofErr w:type="spellEnd"/>
      <w:r>
        <w:t xml:space="preserve"> </w:t>
      </w:r>
      <w:proofErr w:type="spellStart"/>
      <w:r>
        <w:t>ausländische</w:t>
      </w:r>
      <w:proofErr w:type="spellEnd"/>
      <w:r>
        <w:t xml:space="preserve"> </w:t>
      </w:r>
      <w:proofErr w:type="spellStart"/>
      <w:r>
        <w:t>Gatte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philippinischen</w:t>
      </w:r>
      <w:proofErr w:type="spellEnd"/>
      <w:r>
        <w:t xml:space="preserve"> </w:t>
      </w:r>
      <w:proofErr w:type="spellStart"/>
      <w:r>
        <w:t>Vertragspartner</w:t>
      </w:r>
      <w:proofErr w:type="spellEnd"/>
      <w:r>
        <w:t xml:space="preserve">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Heiratserlaubnis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Standesamt</w:t>
      </w:r>
      <w:proofErr w:type="spellEnd"/>
      <w:r>
        <w:t xml:space="preserve"> („Civil Registrar’s </w:t>
      </w:r>
      <w:proofErr w:type="gramStart"/>
      <w:r>
        <w:t>Office“</w:t>
      </w:r>
      <w:proofErr w:type="gramEnd"/>
      <w:r>
        <w:t xml:space="preserve">) des </w:t>
      </w:r>
      <w:proofErr w:type="spellStart"/>
      <w:r>
        <w:t>Wohnortes</w:t>
      </w:r>
      <w:proofErr w:type="spellEnd"/>
      <w:r>
        <w:t xml:space="preserve"> des </w:t>
      </w:r>
      <w:proofErr w:type="spellStart"/>
      <w:r>
        <w:t>philippinischen</w:t>
      </w:r>
      <w:proofErr w:type="spellEnd"/>
      <w:r>
        <w:t xml:space="preserve"> </w:t>
      </w:r>
      <w:proofErr w:type="spellStart"/>
      <w:r>
        <w:t>Vertragspartners</w:t>
      </w:r>
      <w:proofErr w:type="spellEnd"/>
      <w:r>
        <w:t xml:space="preserve"> </w:t>
      </w:r>
      <w:proofErr w:type="spellStart"/>
      <w:r>
        <w:t>bewerben</w:t>
      </w:r>
      <w:proofErr w:type="spellEnd"/>
      <w:r>
        <w:t xml:space="preserve">. Das </w:t>
      </w:r>
      <w:proofErr w:type="spellStart"/>
      <w:r>
        <w:t>Standesamt</w:t>
      </w:r>
      <w:proofErr w:type="spellEnd"/>
      <w:r>
        <w:t xml:space="preserve"> (CRO)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Erhalt</w:t>
      </w:r>
      <w:proofErr w:type="spellEnd"/>
      <w:r>
        <w:t xml:space="preserve"> der </w:t>
      </w:r>
      <w:proofErr w:type="spellStart"/>
      <w:r>
        <w:t>Bewerbung</w:t>
      </w:r>
      <w:proofErr w:type="spellEnd"/>
      <w:r>
        <w:t xml:space="preserve"> Kraft </w:t>
      </w:r>
      <w:proofErr w:type="spellStart"/>
      <w:r>
        <w:t>Gesetzes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innerhalb</w:t>
      </w:r>
      <w:proofErr w:type="spellEnd"/>
      <w:r>
        <w:t xml:space="preserve"> von </w:t>
      </w:r>
      <w:proofErr w:type="spellStart"/>
      <w:r>
        <w:t>zehn</w:t>
      </w:r>
      <w:proofErr w:type="spellEnd"/>
      <w:r>
        <w:t xml:space="preserve"> (10) </w:t>
      </w:r>
      <w:proofErr w:type="spellStart"/>
      <w:r>
        <w:t>aufeinander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die </w:t>
      </w:r>
      <w:proofErr w:type="spellStart"/>
      <w:r>
        <w:t>Hochzeit</w:t>
      </w:r>
      <w:proofErr w:type="spellEnd"/>
      <w:r>
        <w:t xml:space="preserve"> </w:t>
      </w:r>
      <w:proofErr w:type="spellStart"/>
      <w:r>
        <w:t>auszuschreiben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zehntägigen</w:t>
      </w:r>
      <w:proofErr w:type="spellEnd"/>
      <w:r>
        <w:t xml:space="preserve"> </w:t>
      </w:r>
      <w:proofErr w:type="spellStart"/>
      <w:r>
        <w:t>Ausschreibung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Vertragsparteien</w:t>
      </w:r>
      <w:proofErr w:type="spellEnd"/>
      <w:r>
        <w:t xml:space="preserve"> die </w:t>
      </w:r>
      <w:proofErr w:type="spellStart"/>
      <w:r>
        <w:t>Philippinen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, da </w:t>
      </w:r>
      <w:proofErr w:type="spellStart"/>
      <w:r>
        <w:t>Einwände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Eheschließung</w:t>
      </w:r>
      <w:proofErr w:type="spellEnd"/>
      <w:r>
        <w:t xml:space="preserve"> </w:t>
      </w:r>
      <w:proofErr w:type="spellStart"/>
      <w:r>
        <w:t>erhoben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 xml:space="preserve">. Die </w:t>
      </w:r>
      <w:proofErr w:type="spellStart"/>
      <w:r>
        <w:t>Heiratserlaubnis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erteilt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worden</w:t>
      </w:r>
      <w:proofErr w:type="spellEnd"/>
      <w:r>
        <w:rPr>
          <w:spacing w:val="-6"/>
        </w:rPr>
        <w:t xml:space="preserve"> </w:t>
      </w:r>
      <w:proofErr w:type="spellStart"/>
      <w:r>
        <w:t>sind</w:t>
      </w:r>
      <w:proofErr w:type="spellEnd"/>
      <w:r>
        <w:t>.</w:t>
      </w:r>
    </w:p>
    <w:p w14:paraId="77A1D047" w14:textId="77777777" w:rsidR="00FE5F5A" w:rsidRDefault="00FE5F5A">
      <w:pPr>
        <w:pStyle w:val="BodyText"/>
        <w:rPr>
          <w:sz w:val="24"/>
        </w:rPr>
      </w:pPr>
    </w:p>
    <w:p w14:paraId="15C0283C" w14:textId="77777777" w:rsidR="00FE5F5A" w:rsidRDefault="00FE5F5A">
      <w:pPr>
        <w:pStyle w:val="BodyText"/>
        <w:spacing w:before="10"/>
        <w:rPr>
          <w:sz w:val="19"/>
        </w:rPr>
      </w:pPr>
    </w:p>
    <w:p w14:paraId="07D443C4" w14:textId="77777777" w:rsidR="00FE5F5A" w:rsidRDefault="004F6C61">
      <w:pPr>
        <w:pStyle w:val="BodyText"/>
        <w:spacing w:before="1"/>
        <w:ind w:left="1078"/>
      </w:pPr>
      <w:r>
        <w:rPr>
          <w:color w:val="0038A8"/>
        </w:rPr>
        <w:t>GESETZLICHE UND FORMALE HEIRATSKRITERIEN AUF DEN PHILIPPINEN</w:t>
      </w:r>
    </w:p>
    <w:p w14:paraId="753871FE" w14:textId="77777777" w:rsidR="00FE5F5A" w:rsidRDefault="00FE5F5A">
      <w:pPr>
        <w:pStyle w:val="BodyText"/>
        <w:spacing w:before="10"/>
        <w:rPr>
          <w:sz w:val="21"/>
        </w:rPr>
      </w:pPr>
    </w:p>
    <w:p w14:paraId="117A1B88" w14:textId="77777777" w:rsidR="00FE5F5A" w:rsidRDefault="004F6C61">
      <w:pPr>
        <w:pStyle w:val="ListParagraph"/>
        <w:numPr>
          <w:ilvl w:val="0"/>
          <w:numId w:val="1"/>
        </w:numPr>
        <w:tabs>
          <w:tab w:val="left" w:pos="837"/>
        </w:tabs>
      </w:pPr>
      <w:proofErr w:type="spellStart"/>
      <w:r>
        <w:rPr>
          <w:b/>
        </w:rPr>
        <w:t>Rechtfähigkeit</w:t>
      </w:r>
      <w:proofErr w:type="spellEnd"/>
      <w:r>
        <w:rPr>
          <w:b/>
        </w:rPr>
        <w:t xml:space="preserve"> </w:t>
      </w:r>
      <w:r>
        <w:t xml:space="preserve">der </w:t>
      </w:r>
      <w:proofErr w:type="spellStart"/>
      <w:r>
        <w:t>Vertragsparteien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Mann und Frau</w:t>
      </w:r>
      <w:r>
        <w:rPr>
          <w:spacing w:val="-19"/>
        </w:rPr>
        <w:t xml:space="preserve"> </w:t>
      </w:r>
      <w:proofErr w:type="spellStart"/>
      <w:r>
        <w:t>bestehen</w:t>
      </w:r>
      <w:proofErr w:type="spellEnd"/>
      <w:r>
        <w:t>.</w:t>
      </w:r>
    </w:p>
    <w:p w14:paraId="147EE66F" w14:textId="77777777" w:rsidR="00FE5F5A" w:rsidRDefault="00FE5F5A">
      <w:pPr>
        <w:pStyle w:val="BodyText"/>
        <w:spacing w:before="9"/>
        <w:rPr>
          <w:sz w:val="21"/>
        </w:rPr>
      </w:pPr>
    </w:p>
    <w:p w14:paraId="635AE260" w14:textId="77777777" w:rsidR="00FE5F5A" w:rsidRDefault="004F6C61">
      <w:pPr>
        <w:pStyle w:val="ListParagraph"/>
        <w:numPr>
          <w:ilvl w:val="0"/>
          <w:numId w:val="1"/>
        </w:numPr>
        <w:tabs>
          <w:tab w:val="left" w:pos="837"/>
        </w:tabs>
        <w:spacing w:line="244" w:lineRule="auto"/>
        <w:ind w:right="115"/>
        <w:jc w:val="both"/>
      </w:pPr>
      <w:r>
        <w:t xml:space="preserve">Die </w:t>
      </w:r>
      <w:proofErr w:type="spellStart"/>
      <w:r>
        <w:rPr>
          <w:b/>
        </w:rPr>
        <w:t>Zustimmung</w:t>
      </w:r>
      <w:proofErr w:type="spellEnd"/>
      <w:r>
        <w:rPr>
          <w:b/>
        </w:rPr>
        <w:t xml:space="preserve"> muss </w:t>
      </w:r>
      <w:proofErr w:type="spellStart"/>
      <w:r>
        <w:rPr>
          <w:b/>
        </w:rPr>
        <w:t>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Willen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Gegenwart</w:t>
      </w:r>
      <w:proofErr w:type="spellEnd"/>
      <w:r>
        <w:t xml:space="preserve"> des </w:t>
      </w:r>
      <w:proofErr w:type="spellStart"/>
      <w:r>
        <w:t>Standesbeamten</w:t>
      </w:r>
      <w:proofErr w:type="spellEnd"/>
      <w:r>
        <w:t xml:space="preserve"> </w:t>
      </w:r>
      <w:proofErr w:type="spellStart"/>
      <w:r>
        <w:t>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30AB639A" w14:textId="77777777" w:rsidR="00FE5F5A" w:rsidRDefault="00FE5F5A">
      <w:pPr>
        <w:pStyle w:val="BodyText"/>
        <w:spacing w:before="4"/>
        <w:rPr>
          <w:sz w:val="21"/>
        </w:rPr>
      </w:pPr>
    </w:p>
    <w:p w14:paraId="3A18E5E9" w14:textId="77777777" w:rsidR="00FE5F5A" w:rsidRDefault="004F6C61">
      <w:pPr>
        <w:pStyle w:val="ListParagraph"/>
        <w:numPr>
          <w:ilvl w:val="0"/>
          <w:numId w:val="1"/>
        </w:numPr>
        <w:tabs>
          <w:tab w:val="left" w:pos="837"/>
        </w:tabs>
      </w:pPr>
      <w:r>
        <w:t xml:space="preserve">Die </w:t>
      </w:r>
      <w:proofErr w:type="spellStart"/>
      <w:r>
        <w:rPr>
          <w:b/>
        </w:rPr>
        <w:t>Amtsbefugnis</w:t>
      </w:r>
      <w:proofErr w:type="spellEnd"/>
      <w:r>
        <w:rPr>
          <w:b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Standesbeamten</w:t>
      </w:r>
      <w:proofErr w:type="spellEnd"/>
      <w:r>
        <w:t>.</w:t>
      </w:r>
    </w:p>
    <w:p w14:paraId="6838E2C0" w14:textId="77777777" w:rsidR="00FE5F5A" w:rsidRDefault="00FE5F5A">
      <w:pPr>
        <w:pStyle w:val="BodyText"/>
      </w:pPr>
    </w:p>
    <w:p w14:paraId="695FC80C" w14:textId="77777777" w:rsidR="00FE5F5A" w:rsidRDefault="004F6C61">
      <w:pPr>
        <w:pStyle w:val="ListParagraph"/>
        <w:numPr>
          <w:ilvl w:val="0"/>
          <w:numId w:val="1"/>
        </w:numPr>
        <w:tabs>
          <w:tab w:val="left" w:pos="837"/>
        </w:tabs>
        <w:ind w:right="116"/>
        <w:jc w:val="both"/>
      </w:pPr>
      <w:proofErr w:type="spellStart"/>
      <w:r>
        <w:t>Zur</w:t>
      </w:r>
      <w:proofErr w:type="spellEnd"/>
      <w:r>
        <w:t xml:space="preserve"> </w:t>
      </w:r>
      <w:proofErr w:type="spellStart"/>
      <w:r>
        <w:t>standesamtlichen</w:t>
      </w:r>
      <w:proofErr w:type="spellEnd"/>
      <w:r>
        <w:t xml:space="preserve"> </w:t>
      </w:r>
      <w:proofErr w:type="spellStart"/>
      <w:r>
        <w:t>Eheschließung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Vertragsparteien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Standesbeamten</w:t>
      </w:r>
      <w:proofErr w:type="spellEnd"/>
      <w:r>
        <w:t xml:space="preserve"> in </w:t>
      </w:r>
      <w:proofErr w:type="spellStart"/>
      <w:r>
        <w:t>Erscheinung</w:t>
      </w:r>
      <w:proofErr w:type="spellEnd"/>
      <w:r>
        <w:t xml:space="preserve"> </w:t>
      </w:r>
      <w:proofErr w:type="spellStart"/>
      <w:r>
        <w:t>treten</w:t>
      </w:r>
      <w:proofErr w:type="spellEnd"/>
      <w:r>
        <w:t xml:space="preserve"> und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erklären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Mann und Frau </w:t>
      </w:r>
      <w:proofErr w:type="spellStart"/>
      <w:r>
        <w:rPr>
          <w:b/>
        </w:rPr>
        <w:t>annehmen</w:t>
      </w:r>
      <w:proofErr w:type="spellEnd"/>
      <w:r>
        <w:rPr>
          <w:b/>
        </w:rPr>
        <w:t xml:space="preserve">; dies muss in </w:t>
      </w:r>
      <w:proofErr w:type="spellStart"/>
      <w:r>
        <w:rPr>
          <w:b/>
        </w:rPr>
        <w:t>Gegenwart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mindestens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zwei</w:t>
      </w:r>
      <w:proofErr w:type="spellEnd"/>
      <w:r>
        <w:rPr>
          <w:b/>
        </w:rPr>
        <w:t xml:space="preserve"> </w:t>
      </w:r>
      <w:proofErr w:type="spellStart"/>
      <w:r>
        <w:t>volljährigen</w:t>
      </w:r>
      <w:proofErr w:type="spellEnd"/>
      <w:r>
        <w:t xml:space="preserve"> </w:t>
      </w:r>
      <w:proofErr w:type="spellStart"/>
      <w:r>
        <w:t>Trauzeugen</w:t>
      </w:r>
      <w:proofErr w:type="spellEnd"/>
      <w:r>
        <w:rPr>
          <w:spacing w:val="-12"/>
        </w:rPr>
        <w:t xml:space="preserve"> </w:t>
      </w:r>
      <w:proofErr w:type="spellStart"/>
      <w:r>
        <w:t>erfolgen</w:t>
      </w:r>
      <w:proofErr w:type="spellEnd"/>
      <w:r>
        <w:t>.</w:t>
      </w:r>
    </w:p>
    <w:p w14:paraId="1A8A6E92" w14:textId="77777777" w:rsidR="00FE5F5A" w:rsidRDefault="00FE5F5A">
      <w:pPr>
        <w:pStyle w:val="BodyText"/>
        <w:spacing w:before="7"/>
        <w:rPr>
          <w:sz w:val="21"/>
        </w:rPr>
      </w:pPr>
    </w:p>
    <w:p w14:paraId="4BC09454" w14:textId="77777777" w:rsidR="00FE5F5A" w:rsidRDefault="004F6C61">
      <w:pPr>
        <w:pStyle w:val="ListParagraph"/>
        <w:numPr>
          <w:ilvl w:val="0"/>
          <w:numId w:val="1"/>
        </w:numPr>
        <w:tabs>
          <w:tab w:val="left" w:pos="837"/>
        </w:tabs>
      </w:pPr>
      <w:proofErr w:type="spellStart"/>
      <w:r>
        <w:t>Eine</w:t>
      </w:r>
      <w:proofErr w:type="spellEnd"/>
      <w:r>
        <w:t xml:space="preserve"> </w:t>
      </w:r>
      <w:proofErr w:type="spellStart"/>
      <w:r>
        <w:rPr>
          <w:b/>
        </w:rPr>
        <w:t>gültige</w:t>
      </w:r>
      <w:proofErr w:type="spellEnd"/>
      <w:r>
        <w:rPr>
          <w:b/>
          <w:spacing w:val="-12"/>
        </w:rPr>
        <w:t xml:space="preserve"> </w:t>
      </w:r>
      <w:proofErr w:type="spellStart"/>
      <w:r>
        <w:t>Heiratserlaubnis</w:t>
      </w:r>
      <w:proofErr w:type="spellEnd"/>
      <w:r>
        <w:t>.</w:t>
      </w:r>
    </w:p>
    <w:p w14:paraId="36074AAF" w14:textId="77777777" w:rsidR="00FE5F5A" w:rsidRDefault="00FE5F5A">
      <w:pPr>
        <w:pStyle w:val="BodyText"/>
        <w:rPr>
          <w:sz w:val="24"/>
        </w:rPr>
      </w:pPr>
    </w:p>
    <w:p w14:paraId="50C8F231" w14:textId="77777777" w:rsidR="00FE5F5A" w:rsidRDefault="00FE5F5A">
      <w:pPr>
        <w:pStyle w:val="BodyText"/>
        <w:rPr>
          <w:sz w:val="24"/>
        </w:rPr>
      </w:pPr>
    </w:p>
    <w:p w14:paraId="48001ABE" w14:textId="77777777" w:rsidR="00FE5F5A" w:rsidRDefault="004F6C61">
      <w:pPr>
        <w:spacing w:before="210"/>
        <w:ind w:left="116"/>
        <w:rPr>
          <w:i/>
        </w:rPr>
      </w:pPr>
      <w:proofErr w:type="spellStart"/>
      <w:r>
        <w:rPr>
          <w:i/>
        </w:rPr>
        <w:t>Quelle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Philippinisches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Familienrecht</w:t>
      </w:r>
      <w:proofErr w:type="spellEnd"/>
    </w:p>
    <w:sectPr w:rsidR="00FE5F5A" w:rsidSect="00FE5F5A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188A"/>
    <w:multiLevelType w:val="hybridMultilevel"/>
    <w:tmpl w:val="1F02D83A"/>
    <w:lvl w:ilvl="0" w:tplc="CE68296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B341A8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88DA7EC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65F4969E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B5AAB0FE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7B3AFF2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F0A64C2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31C6D4C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8CE01516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>
    <w:nsid w:val="54A46582"/>
    <w:multiLevelType w:val="hybridMultilevel"/>
    <w:tmpl w:val="2B500B2A"/>
    <w:lvl w:ilvl="0" w:tplc="89D2A64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E141EB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95346F9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E7A0BEA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56AF2E0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3420384C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26561804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B0C1A4E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7AC43862"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5F5A"/>
    <w:rsid w:val="002211B1"/>
    <w:rsid w:val="004F6C61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E5F5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5F5A"/>
  </w:style>
  <w:style w:type="paragraph" w:styleId="ListParagraph">
    <w:name w:val="List Paragraph"/>
    <w:basedOn w:val="Normal"/>
    <w:uiPriority w:val="1"/>
    <w:qFormat/>
    <w:rsid w:val="00FE5F5A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REQUIREMENTS FOR A FOREIGN NATIONAL</dc:title>
  <dc:creator>.</dc:creator>
  <cp:lastModifiedBy>Microsoft Office User</cp:lastModifiedBy>
  <cp:revision>2</cp:revision>
  <dcterms:created xsi:type="dcterms:W3CDTF">2019-02-22T13:21:00Z</dcterms:created>
  <dcterms:modified xsi:type="dcterms:W3CDTF">2019-02-22T13:21:00Z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